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33A" w:rsidRPr="004B333A" w:rsidRDefault="004B333A">
      <w:pPr>
        <w:rPr>
          <w:b/>
        </w:rPr>
      </w:pPr>
      <w:bookmarkStart w:id="0" w:name="_GoBack"/>
      <w:r w:rsidRPr="004B333A">
        <w:rPr>
          <w:b/>
        </w:rPr>
        <w:t xml:space="preserve">Überstunden und Mehrarbeit muss nicht ausdrücklich angeordnet werden </w:t>
      </w:r>
    </w:p>
    <w:p w:rsidR="004B333A" w:rsidRPr="004B333A" w:rsidRDefault="004B333A">
      <w:pPr>
        <w:rPr>
          <w:b/>
        </w:rPr>
      </w:pPr>
      <w:r w:rsidRPr="004B333A">
        <w:rPr>
          <w:b/>
        </w:rPr>
        <w:t>(Auszug)</w:t>
      </w:r>
    </w:p>
    <w:bookmarkEnd w:id="0"/>
    <w:p w:rsidR="00E46277" w:rsidRDefault="000B31A7">
      <w:r>
        <w:t xml:space="preserve">Ein Arbeitnehmer leistet Über- oder Mehrarbeit, wenn diese vom Arbeitgeber </w:t>
      </w:r>
      <w:r>
        <w:rPr>
          <w:b/>
          <w:bCs/>
        </w:rPr>
        <w:t>angeordnet, gebilligt, geduldet</w:t>
      </w:r>
      <w:r>
        <w:t xml:space="preserve"> oder zumindest zur Erledigung der geschuldeten Arbeit </w:t>
      </w:r>
      <w:r>
        <w:rPr>
          <w:b/>
          <w:bCs/>
        </w:rPr>
        <w:t>notwendig</w:t>
      </w:r>
      <w:r>
        <w:t xml:space="preserve"> ist […].</w:t>
      </w:r>
      <w:r>
        <w:br/>
        <w:t>Ausdrücklich angeordnet wird Über- oder Mehrarbeit, wenn der Arbeitgeber sie explizit verlangt […]. Konkludent ordnet der Arbeitgeber Über- oder Mehrarbeit an, wenn er dem Arbeitnehmer Arbeit in einem Umfang zuweist, der unter Ausschöpfung der persönlichen Leistungsfähigkeit des Arbeitnehmers nur durch Leistung von Über- oder Mehrarbeit außerhalb der Normalarbeitszeit zu bewältigen ist […].</w:t>
      </w:r>
      <w:r>
        <w:br/>
        <w:t>Mit der Billigung von Über- oder Mehrarbeit ersetzt der Arbeitgeber durch eine Genehmigung nachträglich die fehlende vorherige Anordnung schon geleisteter Über- oder Mehrarbeit […].</w:t>
      </w:r>
      <w:r>
        <w:br/>
        <w:t>Der Arbeitgeber duldet Über- oder Mehrarbeit, wenn er sie hinnimmt und keine Vorkehrungen dafür trifft, sie künftig zu unterbinden. Er schreitet nicht dagegen ein, dass die Über- oder Mehrarbeit geleistet wird, sondern nimmt sie weiterhin entgegen […].«</w:t>
      </w:r>
      <w:r>
        <w:br/>
        <w:t xml:space="preserve">[BAG-Urteil 20.10.2016 – 6 AZR 715/15 </w:t>
      </w:r>
      <w:proofErr w:type="spellStart"/>
      <w:r>
        <w:t>Rn</w:t>
      </w:r>
      <w:proofErr w:type="spellEnd"/>
      <w:r>
        <w:t xml:space="preserve"> 66]</w:t>
      </w:r>
    </w:p>
    <w:sectPr w:rsidR="00E462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eSans B3 Light"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A7"/>
    <w:rsid w:val="000B31A7"/>
    <w:rsid w:val="004B333A"/>
    <w:rsid w:val="00B53CB2"/>
    <w:rsid w:val="00E4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B066"/>
  <w15:chartTrackingRefBased/>
  <w15:docId w15:val="{9ECFF357-A45F-4FD7-9F24-1F2AF3C9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eSans B3 Light" w:eastAsiaTheme="minorHAnsi" w:hAnsi="TheSans B3 Light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Koenig, Stephan</dc:creator>
  <cp:keywords/>
  <dc:description/>
  <cp:lastModifiedBy>Koenig, Stephan</cp:lastModifiedBy>
  <cp:revision>2</cp:revision>
  <dcterms:created xsi:type="dcterms:W3CDTF">2025-05-28T07:57:00Z</dcterms:created>
  <dcterms:modified xsi:type="dcterms:W3CDTF">2025-05-28T09:26:00Z</dcterms:modified>
</cp:coreProperties>
</file>